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E7411">
        <w:rPr>
          <w:rFonts w:ascii="NeoSansPro-Regular" w:hAnsi="NeoSansPro-Regular" w:cs="NeoSansPro-Regular"/>
          <w:color w:val="404040"/>
          <w:sz w:val="20"/>
          <w:szCs w:val="20"/>
        </w:rPr>
        <w:t xml:space="preserve">Raúl Iruegas Álvarez </w:t>
      </w:r>
    </w:p>
    <w:p w:rsidR="00AB5916" w:rsidRDefault="007E74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Doctor en Derecho Penal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C7D54">
        <w:rPr>
          <w:rFonts w:ascii="NeoSansPro-Bold" w:hAnsi="NeoSansPro-Bold" w:cs="NeoSansPro-Bold"/>
          <w:b/>
          <w:bCs/>
          <w:color w:val="404040"/>
          <w:sz w:val="20"/>
          <w:szCs w:val="20"/>
        </w:rPr>
        <w:t>6571416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DC7D5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10134598</w:t>
      </w:r>
    </w:p>
    <w:p w:rsidR="00DC7D54" w:rsidRDefault="00DC7D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(Doctorado) 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E7411">
        <w:rPr>
          <w:rFonts w:ascii="NeoSansPro-Regular" w:hAnsi="NeoSansPro-Regular" w:cs="NeoSansPro-Regular"/>
          <w:color w:val="404040"/>
          <w:sz w:val="20"/>
          <w:szCs w:val="20"/>
        </w:rPr>
        <w:t>228-8123397   /   8173278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E7411">
        <w:rPr>
          <w:rFonts w:ascii="NeoSansPro-Regular" w:hAnsi="NeoSansPro-Regular" w:cs="NeoSansPro-Regular"/>
          <w:color w:val="404040"/>
          <w:sz w:val="20"/>
          <w:szCs w:val="20"/>
        </w:rPr>
        <w:t>raul.iruegas@hotmail.com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Formación 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Académica</w:t>
      </w:r>
    </w:p>
    <w:p w:rsidR="00AB5916" w:rsidRDefault="007E74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1999-2004</w:t>
      </w:r>
    </w:p>
    <w:p w:rsidR="00AB5916" w:rsidRDefault="007E74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Las Américas  Puebla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7E7411" w:rsidRPr="007E7411" w:rsidRDefault="007E74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E7411">
        <w:rPr>
          <w:rFonts w:ascii="NeoSansPro-Regular" w:hAnsi="NeoSansPro-Regular" w:cs="NeoSansPro-Regular"/>
          <w:b/>
          <w:color w:val="404040"/>
          <w:sz w:val="20"/>
          <w:szCs w:val="20"/>
        </w:rPr>
        <w:t>2001-2002</w:t>
      </w:r>
    </w:p>
    <w:p w:rsidR="007E7411" w:rsidRDefault="007E74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Pública de Navarra</w:t>
      </w:r>
    </w:p>
    <w:p w:rsidR="00AB5916" w:rsidRDefault="00DC7D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</w:t>
      </w:r>
      <w:r w:rsidR="00A9542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AB5916" w:rsidP="007E741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</w:t>
      </w:r>
      <w:r w:rsidR="007E7411">
        <w:rPr>
          <w:rFonts w:ascii="NeoSansPro-Regular" w:hAnsi="NeoSansPro-Regular" w:cs="NeoSansPro-Regular"/>
          <w:color w:val="404040"/>
          <w:sz w:val="20"/>
          <w:szCs w:val="20"/>
        </w:rPr>
        <w:t xml:space="preserve">Litigación y </w:t>
      </w:r>
      <w:r w:rsidR="00822A63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="004D5869">
        <w:rPr>
          <w:rFonts w:ascii="NeoSansPro-Regular" w:hAnsi="NeoSansPro-Regular" w:cs="NeoSansPro-Regular"/>
          <w:color w:val="404040"/>
          <w:sz w:val="20"/>
          <w:szCs w:val="20"/>
        </w:rPr>
        <w:t>strategias</w:t>
      </w:r>
      <w:r w:rsidR="007E7411">
        <w:rPr>
          <w:rFonts w:ascii="NeoSansPro-Regular" w:hAnsi="NeoSansPro-Regular" w:cs="NeoSansPro-Regular"/>
          <w:color w:val="404040"/>
          <w:sz w:val="20"/>
          <w:szCs w:val="20"/>
        </w:rPr>
        <w:t xml:space="preserve"> de Defensa</w:t>
      </w:r>
      <w:r w:rsidR="004D5869">
        <w:rPr>
          <w:rFonts w:ascii="NeoSansPro-Regular" w:hAnsi="NeoSansPro-Regular" w:cs="NeoSansPro-Regular"/>
          <w:color w:val="404040"/>
          <w:sz w:val="20"/>
          <w:szCs w:val="20"/>
        </w:rPr>
        <w:t xml:space="preserve"> en Juicios Orales por el Centro de Estudios Superiores en Ciencias Jurídicas y Criminológicas CESCIJUC.</w:t>
      </w:r>
    </w:p>
    <w:p w:rsidR="004D5869" w:rsidRDefault="00DC7D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2012-</w:t>
      </w:r>
      <w:r w:rsidR="00A9542A" w:rsidRPr="00A9542A"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124283">
        <w:rPr>
          <w:rFonts w:ascii="NeoSansPro-Regular" w:hAnsi="NeoSansPro-Regular" w:cs="NeoSansPro-Regular"/>
          <w:color w:val="404040"/>
          <w:sz w:val="20"/>
          <w:szCs w:val="20"/>
        </w:rPr>
        <w:t xml:space="preserve"> enLitigación En Juicios Orales por e</w:t>
      </w:r>
      <w:r w:rsidR="00124283" w:rsidRPr="00124283">
        <w:rPr>
          <w:rFonts w:ascii="NeoSansPro-Regular" w:hAnsi="NeoSansPro-Regular" w:cs="NeoSansPro-Regular"/>
          <w:color w:val="404040"/>
          <w:sz w:val="20"/>
          <w:szCs w:val="20"/>
        </w:rPr>
        <w:t>l</w:t>
      </w:r>
      <w:r w:rsidR="00124283">
        <w:rPr>
          <w:rFonts w:ascii="NeoSansPro-Regular" w:hAnsi="NeoSansPro-Regular" w:cs="NeoSansPro-Regular"/>
          <w:color w:val="404040"/>
          <w:sz w:val="20"/>
          <w:szCs w:val="20"/>
        </w:rPr>
        <w:t xml:space="preserve"> Centro De Estudios Superiores e</w:t>
      </w:r>
      <w:r w:rsidR="00124283" w:rsidRPr="00124283">
        <w:rPr>
          <w:rFonts w:ascii="NeoSansPro-Regular" w:hAnsi="NeoSansPro-Regular" w:cs="NeoSansPro-Regular"/>
          <w:color w:val="404040"/>
          <w:sz w:val="20"/>
          <w:szCs w:val="20"/>
        </w:rPr>
        <w:t>n Ciencias Jurídicas Y Criminológicas CESCIJUC.</w:t>
      </w:r>
    </w:p>
    <w:p w:rsidR="000941DA" w:rsidRPr="00DC7D54" w:rsidRDefault="00DC7D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C7D54">
        <w:rPr>
          <w:rFonts w:ascii="NeoSansPro-Regular" w:hAnsi="NeoSansPro-Regular" w:cs="NeoSansPro-Regular"/>
          <w:b/>
          <w:color w:val="404040"/>
          <w:sz w:val="20"/>
          <w:szCs w:val="20"/>
        </w:rPr>
        <w:t>2014- 2016</w:t>
      </w:r>
    </w:p>
    <w:p w:rsidR="00DC7D54" w:rsidRDefault="00DC7D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 Penalpor e</w:t>
      </w:r>
      <w:r w:rsidRPr="00124283">
        <w:rPr>
          <w:rFonts w:ascii="NeoSansPro-Regular" w:hAnsi="NeoSansPro-Regular" w:cs="NeoSansPro-Regular"/>
          <w:color w:val="404040"/>
          <w:sz w:val="20"/>
          <w:szCs w:val="20"/>
        </w:rPr>
        <w:t>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Centro De Estudios Superiores e</w:t>
      </w:r>
      <w:r w:rsidRPr="00124283">
        <w:rPr>
          <w:rFonts w:ascii="NeoSansPro-Regular" w:hAnsi="NeoSansPro-Regular" w:cs="NeoSansPro-Regular"/>
          <w:color w:val="404040"/>
          <w:sz w:val="20"/>
          <w:szCs w:val="20"/>
        </w:rPr>
        <w:t>n Ciencias Jurídicas Y Criminológicas CESCIJUC</w:t>
      </w:r>
    </w:p>
    <w:p w:rsidR="000941DA" w:rsidRDefault="000941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24283" w:rsidRDefault="0012428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F0DE3" w:rsidRPr="0056084D" w:rsidRDefault="0037052F" w:rsidP="007F0DE3">
      <w:pPr>
        <w:spacing w:after="0" w:line="240" w:lineRule="auto"/>
        <w:rPr>
          <w:rFonts w:ascii="NeoSansPro-Bold" w:hAnsi="NeoSansPro-Bold" w:cs="NeoSansPro-Bold"/>
          <w:bCs/>
          <w:color w:val="000000" w:themeColor="text1"/>
          <w:sz w:val="20"/>
          <w:szCs w:val="20"/>
        </w:rPr>
      </w:pPr>
      <w:r w:rsidRPr="0056084D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13 de dic. de 2016  a la Fecha.</w:t>
      </w:r>
      <w:r w:rsidR="00822A63" w:rsidRPr="0056084D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Se desempeña como Director del Instituto de Formación Profesional d</w:t>
      </w:r>
      <w:r w:rsidRPr="0056084D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 xml:space="preserve">e La </w:t>
      </w:r>
      <w:r w:rsidR="001B27EF" w:rsidRPr="0056084D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Fiscalía</w:t>
      </w:r>
      <w:r w:rsidRPr="0056084D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 xml:space="preserve"> General Del Estado De Veracruz.</w:t>
      </w:r>
    </w:p>
    <w:p w:rsidR="007F0DE3" w:rsidRPr="0056084D" w:rsidRDefault="0037052F" w:rsidP="007F0DE3">
      <w:pPr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56084D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2013-2016</w:t>
      </w:r>
    </w:p>
    <w:p w:rsidR="007F0DE3" w:rsidRPr="0056084D" w:rsidRDefault="0037052F" w:rsidP="007F0DE3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56084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Subdirector Jurídico Contencioso.- Oficinas Centrales </w:t>
      </w:r>
      <w:r w:rsidR="001B27EF" w:rsidRPr="0056084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LICONSA</w:t>
      </w:r>
      <w:r w:rsidR="00822A63" w:rsidRPr="0056084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S.A. d</w:t>
      </w:r>
      <w:r w:rsidR="007F0DE3" w:rsidRPr="0056084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e C.V.- Gobierno Federa</w:t>
      </w:r>
      <w:r w:rsidR="001B27EF" w:rsidRPr="0056084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</w:t>
      </w:r>
    </w:p>
    <w:p w:rsidR="007F0DE3" w:rsidRPr="0056084D" w:rsidRDefault="007F0DE3" w:rsidP="007F0DE3">
      <w:pPr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56084D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2015-2016</w:t>
      </w:r>
    </w:p>
    <w:p w:rsidR="007F0DE3" w:rsidRPr="0056084D" w:rsidRDefault="0037052F" w:rsidP="007F0DE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6084D">
        <w:rPr>
          <w:rFonts w:ascii="Arial" w:hAnsi="Arial" w:cs="Arial"/>
          <w:color w:val="000000" w:themeColor="text1"/>
          <w:sz w:val="20"/>
          <w:szCs w:val="20"/>
        </w:rPr>
        <w:t>Cate</w:t>
      </w:r>
      <w:r w:rsidR="00822A63" w:rsidRPr="0056084D">
        <w:rPr>
          <w:rFonts w:ascii="Arial" w:hAnsi="Arial" w:cs="Arial"/>
          <w:color w:val="000000" w:themeColor="text1"/>
          <w:sz w:val="20"/>
          <w:szCs w:val="20"/>
        </w:rPr>
        <w:t>drático del Instituto Nacional e</w:t>
      </w:r>
      <w:r w:rsidRPr="0056084D">
        <w:rPr>
          <w:rFonts w:ascii="Arial" w:hAnsi="Arial" w:cs="Arial"/>
          <w:color w:val="000000" w:themeColor="text1"/>
          <w:sz w:val="20"/>
          <w:szCs w:val="20"/>
        </w:rPr>
        <w:t xml:space="preserve">n Ciencias Penales INACIPE, impartiendo los módulos de etapa de investigación, así como de simulación en audiencia de </w:t>
      </w:r>
      <w:r w:rsidR="00822A63" w:rsidRPr="0056084D">
        <w:rPr>
          <w:rFonts w:ascii="Arial" w:hAnsi="Arial" w:cs="Arial"/>
          <w:color w:val="000000" w:themeColor="text1"/>
          <w:sz w:val="20"/>
          <w:szCs w:val="20"/>
        </w:rPr>
        <w:t>juicio oral en su Diplomado en Juicios O</w:t>
      </w:r>
      <w:r w:rsidRPr="0056084D">
        <w:rPr>
          <w:rFonts w:ascii="Arial" w:hAnsi="Arial" w:cs="Arial"/>
          <w:color w:val="000000" w:themeColor="text1"/>
          <w:sz w:val="20"/>
          <w:szCs w:val="20"/>
        </w:rPr>
        <w:t>rales</w:t>
      </w:r>
      <w:r w:rsidR="007F0DE3" w:rsidRPr="0056084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7052F" w:rsidRPr="0056084D" w:rsidRDefault="0037052F" w:rsidP="007F0DE3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6084D">
        <w:rPr>
          <w:rFonts w:ascii="Arial" w:hAnsi="Arial" w:cs="Arial"/>
          <w:b/>
          <w:color w:val="000000" w:themeColor="text1"/>
          <w:sz w:val="20"/>
          <w:szCs w:val="20"/>
        </w:rPr>
        <w:t>2014- 2015</w:t>
      </w:r>
    </w:p>
    <w:p w:rsidR="00AB5916" w:rsidRPr="0056084D" w:rsidRDefault="0037052F" w:rsidP="00540DC8">
      <w:pPr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56084D">
        <w:rPr>
          <w:rFonts w:ascii="Arial" w:hAnsi="Arial" w:cs="Arial"/>
          <w:color w:val="000000" w:themeColor="text1"/>
          <w:sz w:val="20"/>
          <w:szCs w:val="20"/>
        </w:rPr>
        <w:t>Asesor Y Capacitador En El Trib</w:t>
      </w:r>
      <w:r w:rsidR="001B27EF" w:rsidRPr="0056084D">
        <w:rPr>
          <w:rFonts w:ascii="Arial" w:hAnsi="Arial" w:cs="Arial"/>
          <w:color w:val="000000" w:themeColor="text1"/>
          <w:sz w:val="20"/>
          <w:szCs w:val="20"/>
        </w:rPr>
        <w:t>unal Superior De Justicia Del D</w:t>
      </w:r>
      <w:r w:rsidR="00822A63" w:rsidRPr="0056084D">
        <w:rPr>
          <w:rFonts w:ascii="Arial" w:hAnsi="Arial" w:cs="Arial"/>
          <w:color w:val="000000" w:themeColor="text1"/>
          <w:sz w:val="20"/>
          <w:szCs w:val="20"/>
        </w:rPr>
        <w:t>.</w:t>
      </w:r>
      <w:r w:rsidR="001B27EF" w:rsidRPr="0056084D">
        <w:rPr>
          <w:rFonts w:ascii="Arial" w:hAnsi="Arial" w:cs="Arial"/>
          <w:color w:val="000000" w:themeColor="text1"/>
          <w:sz w:val="20"/>
          <w:szCs w:val="20"/>
        </w:rPr>
        <w:t>F</w:t>
      </w:r>
    </w:p>
    <w:p w:rsidR="004E10AC" w:rsidRPr="0056084D" w:rsidRDefault="004E10AC" w:rsidP="007F0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6084D">
        <w:rPr>
          <w:rFonts w:ascii="Arial" w:hAnsi="Arial" w:cs="Arial"/>
          <w:b/>
          <w:color w:val="000000" w:themeColor="text1"/>
          <w:sz w:val="20"/>
          <w:szCs w:val="20"/>
        </w:rPr>
        <w:t xml:space="preserve">2012 </w:t>
      </w:r>
    </w:p>
    <w:p w:rsidR="001B27EF" w:rsidRDefault="004E10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</w:rPr>
      </w:pPr>
      <w:r w:rsidRPr="0056084D">
        <w:rPr>
          <w:rFonts w:ascii="Arial" w:hAnsi="Arial" w:cs="Arial"/>
          <w:color w:val="000000" w:themeColor="text1"/>
          <w:sz w:val="20"/>
          <w:szCs w:val="20"/>
        </w:rPr>
        <w:t>Asesor Del Consejero Presidente Del</w:t>
      </w:r>
      <w:r w:rsidR="007F0DE3" w:rsidRPr="0056084D">
        <w:rPr>
          <w:rFonts w:ascii="Arial" w:hAnsi="Arial" w:cs="Arial"/>
          <w:color w:val="000000" w:themeColor="text1"/>
          <w:sz w:val="20"/>
          <w:szCs w:val="20"/>
        </w:rPr>
        <w:t xml:space="preserve"> Consejo Ciudadano De Seguridad</w:t>
      </w:r>
      <w:r w:rsidRPr="0056084D">
        <w:rPr>
          <w:rFonts w:ascii="Arial" w:hAnsi="Arial" w:cs="Arial"/>
          <w:color w:val="000000" w:themeColor="text1"/>
          <w:sz w:val="20"/>
          <w:szCs w:val="20"/>
        </w:rPr>
        <w:t>Pública Y Procuración De Justicia En El Distrito Federal.- México D.F</w:t>
      </w:r>
    </w:p>
    <w:p w:rsidR="00540DC8" w:rsidRDefault="00540DC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</w:rPr>
      </w:pPr>
    </w:p>
    <w:p w:rsidR="004E10AC" w:rsidRPr="0056084D" w:rsidRDefault="007F0DE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56084D">
        <w:rPr>
          <w:rFonts w:ascii="NeoSansPro-Regular" w:hAnsi="NeoSansPro-Regular" w:cs="NeoSansPro-Regular"/>
          <w:color w:val="000000" w:themeColor="text1"/>
          <w:sz w:val="20"/>
          <w:szCs w:val="20"/>
        </w:rPr>
        <w:t xml:space="preserve">Docente Certificado Por El Comité De Capacitación Del Consejo De Coordinación Para La Implementación Del </w:t>
      </w:r>
      <w:r w:rsidR="00822A63" w:rsidRPr="0056084D">
        <w:rPr>
          <w:rFonts w:ascii="NeoSansPro-Regular" w:hAnsi="NeoSansPro-Regular" w:cs="NeoSansPro-Regular"/>
          <w:color w:val="000000" w:themeColor="text1"/>
          <w:sz w:val="20"/>
          <w:szCs w:val="20"/>
        </w:rPr>
        <w:t xml:space="preserve">Sistema De Justicia Penal en el </w:t>
      </w:r>
      <w:r w:rsidRPr="0056084D">
        <w:rPr>
          <w:rFonts w:ascii="NeoSansPro-Regular" w:hAnsi="NeoSansPro-Regular" w:cs="NeoSansPro-Regular"/>
          <w:color w:val="000000" w:themeColor="text1"/>
          <w:sz w:val="20"/>
          <w:szCs w:val="20"/>
        </w:rPr>
        <w:t>Proceso De Certificación Docente De La Secretaría Técnica Para La Implementación (</w:t>
      </w:r>
      <w:r w:rsidR="001B27EF" w:rsidRPr="0056084D">
        <w:rPr>
          <w:rFonts w:ascii="NeoSansPro-Regular" w:hAnsi="NeoSansPro-Regular" w:cs="NeoSansPro-Regular"/>
          <w:color w:val="000000" w:themeColor="text1"/>
          <w:sz w:val="20"/>
          <w:szCs w:val="20"/>
        </w:rPr>
        <w:t>SETEC</w:t>
      </w:r>
      <w:r w:rsidRPr="0056084D">
        <w:rPr>
          <w:rFonts w:ascii="NeoSansPro-Regular" w:hAnsi="NeoSansPro-Regular" w:cs="NeoSansPro-Regular"/>
          <w:color w:val="000000" w:themeColor="text1"/>
          <w:sz w:val="20"/>
          <w:szCs w:val="20"/>
        </w:rPr>
        <w:t>). Id De Docente Certificado Número 617.</w:t>
      </w:r>
      <w:r w:rsidR="004E10AC" w:rsidRPr="0056084D">
        <w:rPr>
          <w:rFonts w:ascii="NeoSansPro-Bold" w:hAnsi="NeoSansPro-Bold" w:cs="NeoSansPro-Bold"/>
          <w:b/>
          <w:bCs/>
          <w:color w:val="FFFFFF"/>
          <w:sz w:val="20"/>
          <w:szCs w:val="20"/>
        </w:rPr>
        <w:t>dm</w:t>
      </w:r>
    </w:p>
    <w:p w:rsidR="004E10AC" w:rsidRPr="0056084D" w:rsidRDefault="004E10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4E10AC" w:rsidRPr="0056084D" w:rsidRDefault="004E10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56084D">
        <w:rPr>
          <w:rFonts w:ascii="NeoSansPro-Bold" w:hAnsi="NeoSansPro-Bold" w:cs="NeoSansPro-Bold"/>
          <w:b/>
          <w:bCs/>
          <w:color w:val="FFFFFF"/>
          <w:sz w:val="20"/>
          <w:szCs w:val="20"/>
        </w:rPr>
        <w:lastRenderedPageBreak/>
        <w:t>F</w:t>
      </w:r>
    </w:p>
    <w:p w:rsidR="007F0DE3" w:rsidRPr="0056084D" w:rsidRDefault="001B27EF" w:rsidP="007F0D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6084D">
        <w:rPr>
          <w:rFonts w:ascii="Arial" w:eastAsia="Times New Roman" w:hAnsi="Arial" w:cs="Arial"/>
          <w:sz w:val="20"/>
          <w:szCs w:val="20"/>
          <w:lang w:eastAsia="es-ES"/>
        </w:rPr>
        <w:t>Autor De La Obra “Los Juicios Orales En México. Hacia La Consolidación De Un Sistema Penal Garantista”, Obra Seleccionada En El Marco Del 40ª Aniversario Del INACIPE.</w:t>
      </w:r>
    </w:p>
    <w:p w:rsidR="007F0DE3" w:rsidRPr="0056084D" w:rsidRDefault="007F0DE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7F0DE3" w:rsidRPr="0056084D" w:rsidRDefault="007F0DE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4E10AC" w:rsidRPr="0056084D" w:rsidRDefault="004E10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56084D" w:rsidRDefault="00C800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800C3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6084D">
        <w:rPr>
          <w:rFonts w:ascii="NeoSansPro-Bold" w:hAnsi="NeoSansPro-Bold" w:cs="NeoSansPro-Bold"/>
          <w:b/>
          <w:bCs/>
          <w:color w:val="FFFFFF"/>
          <w:sz w:val="20"/>
          <w:szCs w:val="20"/>
        </w:rPr>
        <w:t>Conocimiento</w:t>
      </w:r>
    </w:p>
    <w:p w:rsidR="00AB5916" w:rsidRPr="0056084D" w:rsidRDefault="007F0DE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6084D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822A63" w:rsidRPr="0056084D" w:rsidRDefault="00822A6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6084D"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Pr="0056084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6084D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Pr="0056084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6084D"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Pr="0056084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6084D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22A63" w:rsidRPr="0056084D" w:rsidRDefault="00822A6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822A63" w:rsidRPr="0056084D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39" w:rsidRDefault="00CB4339" w:rsidP="00AB5916">
      <w:pPr>
        <w:spacing w:after="0" w:line="240" w:lineRule="auto"/>
      </w:pPr>
      <w:r>
        <w:separator/>
      </w:r>
    </w:p>
  </w:endnote>
  <w:endnote w:type="continuationSeparator" w:id="1">
    <w:p w:rsidR="00CB4339" w:rsidRDefault="00CB43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39" w:rsidRDefault="00CB4339" w:rsidP="00AB5916">
      <w:pPr>
        <w:spacing w:after="0" w:line="240" w:lineRule="auto"/>
      </w:pPr>
      <w:r>
        <w:separator/>
      </w:r>
    </w:p>
  </w:footnote>
  <w:footnote w:type="continuationSeparator" w:id="1">
    <w:p w:rsidR="00CB4339" w:rsidRDefault="00CB43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862"/>
    <w:multiLevelType w:val="hybridMultilevel"/>
    <w:tmpl w:val="74E4D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41DA"/>
    <w:rsid w:val="000D5363"/>
    <w:rsid w:val="000E2580"/>
    <w:rsid w:val="00124283"/>
    <w:rsid w:val="00196774"/>
    <w:rsid w:val="001B27EF"/>
    <w:rsid w:val="002334E1"/>
    <w:rsid w:val="0024102F"/>
    <w:rsid w:val="00304E91"/>
    <w:rsid w:val="0037052F"/>
    <w:rsid w:val="00462C41"/>
    <w:rsid w:val="004A1170"/>
    <w:rsid w:val="004B2D6E"/>
    <w:rsid w:val="004D5869"/>
    <w:rsid w:val="004E10AC"/>
    <w:rsid w:val="004E4FFA"/>
    <w:rsid w:val="00540DC8"/>
    <w:rsid w:val="005502F5"/>
    <w:rsid w:val="0056084D"/>
    <w:rsid w:val="005A32B3"/>
    <w:rsid w:val="00600D12"/>
    <w:rsid w:val="006B643A"/>
    <w:rsid w:val="00726727"/>
    <w:rsid w:val="00737931"/>
    <w:rsid w:val="007A46E9"/>
    <w:rsid w:val="007E7411"/>
    <w:rsid w:val="007F0DE3"/>
    <w:rsid w:val="00822A63"/>
    <w:rsid w:val="00944723"/>
    <w:rsid w:val="00961EC3"/>
    <w:rsid w:val="00996728"/>
    <w:rsid w:val="00A02B9B"/>
    <w:rsid w:val="00A25AA3"/>
    <w:rsid w:val="00A66637"/>
    <w:rsid w:val="00A9542A"/>
    <w:rsid w:val="00AB5916"/>
    <w:rsid w:val="00C800C3"/>
    <w:rsid w:val="00CB4339"/>
    <w:rsid w:val="00CE7F12"/>
    <w:rsid w:val="00D03386"/>
    <w:rsid w:val="00DB2FA1"/>
    <w:rsid w:val="00DC7D54"/>
    <w:rsid w:val="00DE2E01"/>
    <w:rsid w:val="00E71AD8"/>
    <w:rsid w:val="00E91DE3"/>
    <w:rsid w:val="00FA0C4B"/>
    <w:rsid w:val="00FA773E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2017-03-10T20:40:00Z</dcterms:created>
  <dcterms:modified xsi:type="dcterms:W3CDTF">2017-06-21T17:31:00Z</dcterms:modified>
</cp:coreProperties>
</file>